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4"/>
        <w:tblpPr w:horzAnchor="margin" w:tblpXSpec="left" w:vertAnchor="text" w:tblpY="-166" w:leftFromText="180" w:topFromText="0" w:rightFromText="180" w:bottomFromText="0"/>
        <w:tblW w:w="946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>
        <w:trPr>
          <w:trHeight w:val="20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630"/>
              <w:jc w:val="left"/>
              <w:spacing w:before="0" w:after="0"/>
              <w:widowControl w:val="off"/>
              <w:tabs>
                <w:tab w:val="clear" w:pos="708" w:leader="none"/>
                <w:tab w:val="left" w:pos="595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7" descr="Описание: горы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3;o:allowoverlap:true;o:allowincell:true;mso-position-horizontal-relative:text;margin-left:12.4pt;mso-position-horizontal:absolute;mso-position-vertical-relative:text;margin-top:6.2pt;mso-position-vertical:absolute;width:193.5pt;height:86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630"/>
              <w:jc w:val="left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  <w:p>
            <w:pPr>
              <w:pStyle w:val="630"/>
              <w:jc w:val="left"/>
              <w:spacing w:before="0" w:after="0"/>
              <w:widowControl w:val="off"/>
              <w:tabs>
                <w:tab w:val="left" w:pos="0" w:leader="none"/>
                <w:tab w:val="clear" w:pos="708" w:leader="none"/>
              </w:tabs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pStyle w:val="654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1" w:type="dxa"/>
            <w:vAlign w:val="center"/>
            <w:textDirection w:val="lrTb"/>
            <w:noWrap w:val="false"/>
          </w:tcPr>
          <w:p>
            <w:pPr>
              <w:pStyle w:val="654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0"/>
        <w:jc w:val="center"/>
        <w:rPr>
          <w:highlight w:val="none"/>
          <w:shd w:val="clear" w:color="auto" w:fill="auto"/>
        </w:rPr>
      </w:pPr>
      <w:r>
        <w:rPr>
          <w:b/>
          <w:sz w:val="36"/>
          <w:szCs w:val="36"/>
          <w:shd w:val="clear" w:color="auto" w:fill="auto"/>
        </w:rPr>
        <w:t xml:space="preserve">АНАЛИТИЧЕСКИЙ ОТЧЕТ</w:t>
      </w:r>
      <w:r/>
    </w:p>
    <w:p>
      <w:pPr>
        <w:pStyle w:val="630"/>
        <w:jc w:val="center"/>
        <w:rPr>
          <w:b/>
          <w:sz w:val="32"/>
          <w:szCs w:val="32"/>
          <w:highlight w:val="none"/>
          <w:shd w:val="clear" w:color="auto" w:fill="auto"/>
        </w:rPr>
      </w:pPr>
      <w:r>
        <w:rPr>
          <w:b/>
          <w:sz w:val="32"/>
          <w:szCs w:val="32"/>
          <w:shd w:val="clear" w:color="auto" w:fill="auto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 качестве условий </w:t>
      </w:r>
      <w:r>
        <w:rPr>
          <w:bCs/>
          <w:sz w:val="28"/>
          <w:szCs w:val="28"/>
          <w:shd w:val="clear" w:color="auto" w:fill="auto"/>
        </w:rPr>
        <w:t xml:space="preserve">осуществления образовательной деятельности </w:t>
      </w:r>
      <w:r/>
    </w:p>
    <w:p>
      <w:pPr>
        <w:pStyle w:val="630"/>
        <w:jc w:val="center"/>
        <w:spacing w:line="276" w:lineRule="auto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>
        <w:rPr>
          <w:sz w:val="28"/>
          <w:szCs w:val="28"/>
          <w:shd w:val="clear" w:color="auto" w:fill="auto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  <w:shd w:val="clear" w:color="auto" w:fill="auto"/>
        </w:rPr>
        <w:t xml:space="preserve">условий осуществления образовательной деятельности </w:t>
      </w:r>
      <w:r>
        <w:rPr>
          <w:sz w:val="28"/>
          <w:szCs w:val="28"/>
          <w:shd w:val="clear" w:color="auto" w:fill="auto"/>
        </w:rPr>
        <w:t xml:space="preserve">образовательными организациями, в отношении которых проводится независимая оценка</w:t>
      </w:r>
      <w:r>
        <w:rPr>
          <w:sz w:val="28"/>
          <w:szCs w:val="28"/>
          <w:shd w:val="clear" w:color="auto" w:fill="auto"/>
        </w:rPr>
        <w:t xml:space="preserve"> </w:t>
      </w:r>
      <w:r/>
    </w:p>
    <w:p>
      <w:pPr>
        <w:pStyle w:val="630"/>
        <w:jc w:val="center"/>
        <w:spacing w:line="276" w:lineRule="auto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  <w:highlight w:val="none"/>
          <w:shd w:val="clear" w:color="auto" w:fill="auto"/>
        </w:rPr>
      </w:pPr>
      <w:r>
        <w:rPr>
          <w:bCs/>
          <w:spacing w:val="-7"/>
          <w:sz w:val="28"/>
          <w:szCs w:val="28"/>
          <w:shd w:val="clear" w:color="auto" w:fill="auto"/>
        </w:rPr>
      </w:r>
      <w:r/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rPr>
          <w:bCs/>
          <w:spacing w:val="-7"/>
          <w:sz w:val="28"/>
          <w:szCs w:val="28"/>
        </w:rPr>
      </w:r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  <w:r>
        <w:rPr>
          <w:spacing w:val="-7"/>
          <w:sz w:val="28"/>
          <w:szCs w:val="28"/>
        </w:rPr>
      </w:r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0"/>
        <w:jc w:val="center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Грозный, 2022</w:t>
      </w:r>
      <w:r/>
    </w:p>
    <w:p>
      <w:pPr>
        <w:pStyle w:val="630"/>
        <w:spacing w:before="0" w:after="160" w:line="259" w:lineRule="auto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br w:type="page" w:clear="all"/>
      </w:r>
      <w:r/>
    </w:p>
    <w:p>
      <w:pPr>
        <w:pStyle w:val="6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отчет</w:t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/>
    </w:p>
    <w:p>
      <w:pPr>
        <w:pStyle w:val="630"/>
        <w:jc w:val="center"/>
        <w:spacing w:line="276" w:lineRule="auto"/>
      </w:pPr>
      <w:r>
        <w:rPr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pStyle w:val="630"/>
        <w:jc w:val="center"/>
        <w:spacing w:line="276" w:lineRule="auto"/>
      </w:pPr>
      <w:r/>
      <w:r/>
    </w:p>
    <w:p>
      <w:pPr>
        <w:pStyle w:val="630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                                                                                        </w:t>
      </w:r>
      <w:r>
        <w:rPr>
          <w:sz w:val="28"/>
          <w:szCs w:val="28"/>
        </w:rPr>
        <w:t xml:space="preserve">10 декабря 2022г.</w:t>
      </w:r>
      <w:r/>
    </w:p>
    <w:p>
      <w:pPr>
        <w:pStyle w:val="630"/>
        <w:jc w:val="both"/>
        <w:widowControl w:val="off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 xml:space="preserve">во исполнение ч.2 ст.95 Федерального Закона от 29.12.2012г. № 273-ФЗ «Об образовании в Российской Федерации» </w:t>
      </w:r>
      <w:r>
        <w:rPr>
          <w:sz w:val="28"/>
          <w:szCs w:val="28"/>
        </w:rPr>
        <w:t xml:space="preserve">в соответствии со следующими нормативно-правовыми актами и методическими рекомендациями:</w:t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Правительства Российской Федерации</w:t>
      </w:r>
      <w:r>
        <w:rPr>
          <w:sz w:val="28"/>
          <w:szCs w:val="28"/>
        </w:rPr>
        <w:t xml:space="preserve">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Приказ Минтруда России от 31 мая 2018 г. № 344н «Об утвержде</w:t>
      </w:r>
      <w:r>
        <w:rPr>
          <w:sz w:val="28"/>
          <w:szCs w:val="28"/>
        </w:rPr>
        <w:t xml:space="preserve">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</w:t>
      </w:r>
      <w:r>
        <w:rPr>
          <w:sz w:val="28"/>
          <w:szCs w:val="28"/>
        </w:rPr>
        <w:t xml:space="preserve">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</w:t>
      </w:r>
      <w:r>
        <w:rPr>
          <w:sz w:val="28"/>
          <w:szCs w:val="28"/>
        </w:rPr>
        <w:t xml:space="preserve">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  <w:r>
        <w:br w:type="page" w:clear="all"/>
      </w:r>
      <w:r/>
    </w:p>
    <w:p>
      <w:pPr>
        <w:pStyle w:val="630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Общие исходные сведения об организации:</w:t>
      </w:r>
      <w:r/>
    </w:p>
    <w:p>
      <w:pPr>
        <w:pStyle w:val="652"/>
        <w:numPr>
          <w:ilvl w:val="0"/>
          <w:numId w:val="2"/>
        </w:numPr>
        <w:contextualSpacing/>
        <w:jc w:val="both"/>
        <w:spacing w:beforeAutospacing="1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органи</w:t>
      </w:r>
      <w:r>
        <w:rPr>
          <w:b/>
          <w:sz w:val="28"/>
          <w:szCs w:val="28"/>
          <w:shd w:val="clear" w:color="auto" w:fill="auto"/>
        </w:rPr>
        <w:t xml:space="preserve">зации</w:t>
      </w:r>
      <w:r>
        <w:rPr>
          <w:sz w:val="28"/>
          <w:szCs w:val="28"/>
          <w:shd w:val="clear" w:color="auto" w:fill="auto"/>
        </w:rPr>
        <w:t xml:space="preserve">: </w:t>
      </w:r>
      <w:r>
        <w:rPr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>
        <w:rPr>
          <w:sz w:val="28"/>
          <w:szCs w:val="28"/>
          <w:shd w:val="clear" w:color="auto" w:fill="auto"/>
        </w:rPr>
        <w:t xml:space="preserve"> </w:t>
      </w:r>
      <w:r/>
    </w:p>
    <w:p>
      <w:pPr>
        <w:pStyle w:val="652"/>
        <w:numPr>
          <w:ilvl w:val="0"/>
          <w:numId w:val="2"/>
        </w:numPr>
        <w:contextualSpacing/>
        <w:jc w:val="both"/>
        <w:spacing w:before="0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Юридический адрес организации: </w:t>
      </w:r>
      <w:r>
        <w:rPr>
          <w:color w:val="000000"/>
          <w:sz w:val="28"/>
          <w:szCs w:val="28"/>
          <w:shd w:val="clear" w:color="auto" w:fill="auto"/>
        </w:rPr>
        <w:t xml:space="preserve">364031, Чеченская Республика, г. Грозный, ул. Ляпидевского, д. 9.</w:t>
      </w:r>
      <w:r/>
    </w:p>
    <w:p>
      <w:pPr>
        <w:pStyle w:val="652"/>
        <w:numPr>
          <w:ilvl w:val="0"/>
          <w:numId w:val="2"/>
        </w:numPr>
        <w:contextualSpacing w:val="0"/>
        <w:jc w:val="both"/>
        <w:spacing w:before="0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 дистанционного этапа сбора информации</w:t>
      </w:r>
      <w:r>
        <w:rPr>
          <w:sz w:val="28"/>
          <w:szCs w:val="28"/>
        </w:rPr>
        <w:t xml:space="preserve">: с </w:t>
      </w:r>
      <w:r>
        <w:rPr>
          <w:sz w:val="28"/>
          <w:szCs w:val="28"/>
          <w:shd w:val="clear" w:color="auto" w:fill="auto"/>
        </w:rPr>
        <w:t xml:space="preserve">19.09.2022 по 10.11.2022</w:t>
      </w:r>
      <w:bookmarkStart w:id="0" w:name="_GoBack"/>
      <w:r/>
      <w:bookmarkEnd w:id="0"/>
      <w:r>
        <w:rPr>
          <w:sz w:val="28"/>
          <w:szCs w:val="28"/>
          <w:shd w:val="clear" w:color="auto" w:fill="auto"/>
        </w:rPr>
        <w:t xml:space="preserve"> гг. </w:t>
      </w:r>
      <w:r/>
    </w:p>
    <w:p>
      <w:pPr>
        <w:pStyle w:val="652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Дата визита представителей организации-оператора в организацию</w:t>
      </w:r>
      <w:r>
        <w:rPr>
          <w:sz w:val="28"/>
          <w:szCs w:val="28"/>
          <w:shd w:val="clear" w:color="auto" w:fill="auto"/>
        </w:rPr>
        <w:t xml:space="preserve">: 01.11.2022 г.</w:t>
      </w:r>
      <w:r/>
    </w:p>
    <w:p>
      <w:pPr>
        <w:pStyle w:val="652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Численность респондентов в образовательной организации </w:t>
      </w:r>
      <w:r>
        <w:rPr>
          <w:sz w:val="28"/>
          <w:szCs w:val="28"/>
          <w:shd w:val="clear" w:color="auto" w:fill="auto"/>
        </w:rPr>
        <w:t xml:space="preserve">: 600 чел.</w:t>
      </w:r>
      <w:r/>
      <w:r>
        <w:rPr>
          <w:sz w:val="28"/>
          <w:szCs w:val="28"/>
          <w:shd w:val="clear" w:color="auto" w:fill="auto"/>
        </w:rPr>
      </w:r>
      <w:r/>
      <w:r>
        <w:rPr>
          <w:highlight w:val="none"/>
          <w:shd w:val="clear" w:color="auto" w:fill="auto"/>
        </w:rPr>
      </w:r>
    </w:p>
    <w:p>
      <w:pPr>
        <w:pStyle w:val="63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/>
    </w:p>
    <w:p>
      <w:pPr>
        <w:pStyle w:val="6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Style w:val="664"/>
        <w:tblW w:w="9776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6"/>
        <w:gridCol w:w="7099"/>
      </w:tblGrid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1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52"/>
              <w:contextualSpacing/>
              <w:ind w:left="69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получателей услуг открытостью и доступностью информации об образовательной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респондентов: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r>
            <w:r/>
          </w:p>
          <w:p>
            <w:pPr>
              <w:pStyle w:val="630"/>
              <w:numPr>
                <w:ilvl w:val="0"/>
                <w:numId w:val="0"/>
              </w:numPr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Рекомендации отсутствуют</w:t>
            </w:r>
            <w:r/>
            <w:r/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2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в организации комфортных условий для предоставления образовательных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комфортностью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респондентов:</w:t>
            </w:r>
            <w:r/>
          </w:p>
          <w:p>
            <w:pPr>
              <w:pStyle w:val="630"/>
              <w:jc w:val="both"/>
              <w:spacing w:before="0" w:after="0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Рекомендации отсутствуют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3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Оборудование территории, прилегающей к организации, и ее помещений с учетом доступности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качеством условий предоставления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</w:p>
          <w:p>
            <w:pPr>
              <w:pStyle w:val="630"/>
              <w:numPr>
                <w:ilvl w:val="0"/>
                <w:numId w:val="0"/>
              </w:numPr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Рекомендации отсутствуют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4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Доброжелательность, вежливость работников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</w:p>
          <w:p>
            <w:pPr>
              <w:pStyle w:val="630"/>
              <w:numPr>
                <w:ilvl w:val="0"/>
                <w:numId w:val="0"/>
              </w:numPr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Рекомендации отсутствуют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5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0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2"/>
              <w:numPr>
                <w:ilvl w:val="0"/>
                <w:numId w:val="0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Рекомендации отсутствуют</w:t>
            </w:r>
            <w:r/>
            <w:r/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52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  <w:shd w:val="clear" w:color="auto" w:fill="auto"/>
        </w:rPr>
        <w:t xml:space="preserve">ГБПОУ "ГРОЗНЕНСКИЙ ПЕДАГОГИЧЕСКИЙ КОЛЛЕДЖ"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 xml:space="preserve">100</w:t>
      </w:r>
      <w:r>
        <w:rPr>
          <w:b/>
          <w:color w:val="000000" w:themeColor="text1"/>
          <w:sz w:val="28"/>
          <w:szCs w:val="28"/>
          <w:shd w:val="clear" w:color="auto" w:fill="auto"/>
        </w:rPr>
        <w:t xml:space="preserve">.00 баллов</w:t>
      </w:r>
      <w:r>
        <w:rPr>
          <w:sz w:val="28"/>
          <w:szCs w:val="28"/>
          <w:shd w:val="clear" w:color="auto" w:fill="auto"/>
        </w:rPr>
        <w:t xml:space="preserve">. </w:t>
      </w:r>
      <w:r>
        <w:rPr>
          <w:sz w:val="28"/>
          <w:szCs w:val="28"/>
        </w:rPr>
        <w:t xml:space="preserve">Детализация показателей общих критериев, участвующих в формировании интегрального значения приведена в Приложении №1.</w:t>
      </w:r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полученные по итогам реализации</w:t>
      </w:r>
      <w:r>
        <w:rPr>
          <w:sz w:val="28"/>
          <w:szCs w:val="28"/>
        </w:rPr>
        <w:t xml:space="preserve">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деятельности обр</w:t>
      </w:r>
      <w:r>
        <w:rPr>
          <w:sz w:val="28"/>
          <w:szCs w:val="28"/>
        </w:rPr>
        <w:t xml:space="preserve">азовательными организациями, в отношении которых проводится независимая оценка, подлежат передаче в Общественный совет при Министерстве образования и науки Чеченской Республики по проведению независимой оценки качества условий осуществления образовательной</w:t>
      </w:r>
      <w:r>
        <w:rPr>
          <w:sz w:val="28"/>
          <w:szCs w:val="28"/>
        </w:rPr>
        <w:t xml:space="preserve">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организацией.</w:t>
      </w:r>
      <w:r/>
    </w:p>
    <w:p>
      <w:pPr>
        <w:pStyle w:val="63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Директор СКЦПОА</w:t>
        <w:tab/>
        <w:tab/>
        <w:tab/>
        <w:tab/>
        <w:t xml:space="preserve">                     </w:t>
        <w:tab/>
        <w:t xml:space="preserve">Е.С. Квасова</w:t>
      </w:r>
      <w:r/>
    </w:p>
    <w:p>
      <w:pPr>
        <w:pStyle w:val="63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0"/>
        <w:rPr>
          <w:sz w:val="28"/>
          <w:szCs w:val="28"/>
        </w:rPr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5" w:right="566" w:bottom="993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5040102010807070707"/>
  </w:font>
  <w:font w:name="SimSun">
    <w:panose1 w:val="02020603020101020101"/>
  </w:font>
  <w:font w:name="Liberation Serif">
    <w:panose1 w:val="020206030504050203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Mangal">
    <w:panose1 w:val="02020603050405020304"/>
  </w:font>
  <w:font w:name="Lohit Devanagari">
    <w:panose1 w:val="020B0600000000000000"/>
  </w:font>
  <w:font w:name="OpenSymbol">
    <w:panose1 w:val="05010000000000000000"/>
  </w:font>
  <w:font w:name="noto sans cjk sc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13563943"/>
      <w:docPartObj>
        <w:docPartGallery w:val="Page Numbers (Top of Page)"/>
        <w:docPartUnique w:val="true"/>
      </w:docPartObj>
      <w:rPr/>
    </w:sdtPr>
    <w:sdtContent>
      <w:p>
        <w:pPr>
          <w:pStyle w:val="65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650"/>
      <w:tabs>
        <w:tab w:val="clear" w:pos="4677" w:leader="none"/>
        <w:tab w:val="left" w:pos="8264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848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92" w:hanging="576"/>
        <w:tabs>
          <w:tab w:val="num" w:pos="0" w:leader="none"/>
        </w:tabs>
      </w:pPr>
    </w:lvl>
    <w:lvl w:ilvl="2">
      <w:start w:val="1"/>
      <w:numFmt w:val="none"/>
      <w:pStyle w:val="655"/>
      <w:isLgl w:val="false"/>
      <w:suff w:val="nothing"/>
      <w:lvlText w:val=""/>
      <w:lvlJc w:val="left"/>
      <w:pPr>
        <w:ind w:left="2136" w:hanging="720"/>
        <w:tabs>
          <w:tab w:val="num" w:pos="0" w:leader="none"/>
        </w:tabs>
      </w:pPr>
    </w:lvl>
    <w:lvl w:ilvl="3">
      <w:start w:val="1"/>
      <w:numFmt w:val="none"/>
      <w:pStyle w:val="656"/>
      <w:isLgl w:val="false"/>
      <w:suff w:val="nothing"/>
      <w:lvlText w:val=""/>
      <w:lvlJc w:val="left"/>
      <w:pPr>
        <w:ind w:left="2280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424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68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712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56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000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pStyle w:val="659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0"/>
    <w:next w:val="63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0"/>
    <w:next w:val="63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0"/>
    <w:next w:val="6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2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32"/>
    <w:link w:val="631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0"/>
    <w:next w:val="6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0"/>
    <w:next w:val="6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0"/>
    <w:next w:val="63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0"/>
    <w:next w:val="6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0"/>
    <w:next w:val="6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0"/>
    <w:next w:val="6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2"/>
    <w:link w:val="33"/>
    <w:uiPriority w:val="10"/>
    <w:rPr>
      <w:sz w:val="48"/>
      <w:szCs w:val="48"/>
    </w:rPr>
  </w:style>
  <w:style w:type="paragraph" w:styleId="35">
    <w:name w:val="Subtitle"/>
    <w:basedOn w:val="630"/>
    <w:next w:val="6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2"/>
    <w:link w:val="35"/>
    <w:uiPriority w:val="11"/>
    <w:rPr>
      <w:sz w:val="24"/>
      <w:szCs w:val="24"/>
    </w:rPr>
  </w:style>
  <w:style w:type="paragraph" w:styleId="37">
    <w:name w:val="Quote"/>
    <w:basedOn w:val="630"/>
    <w:next w:val="6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0"/>
    <w:next w:val="6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2"/>
    <w:link w:val="650"/>
    <w:uiPriority w:val="99"/>
  </w:style>
  <w:style w:type="character" w:styleId="44">
    <w:name w:val="Footer Char"/>
    <w:basedOn w:val="632"/>
    <w:link w:val="651"/>
    <w:uiPriority w:val="99"/>
  </w:style>
  <w:style w:type="character" w:styleId="46">
    <w:name w:val="Caption Char"/>
    <w:basedOn w:val="647"/>
    <w:link w:val="651"/>
    <w:uiPriority w:val="99"/>
  </w:style>
  <w:style w:type="table" w:styleId="48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2"/>
    <w:uiPriority w:val="99"/>
    <w:unhideWhenUsed/>
    <w:rPr>
      <w:vertAlign w:val="superscript"/>
    </w:rPr>
  </w:style>
  <w:style w:type="paragraph" w:styleId="177">
    <w:name w:val="endnote text"/>
    <w:basedOn w:val="6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2"/>
    <w:uiPriority w:val="99"/>
    <w:semiHidden/>
    <w:unhideWhenUsed/>
    <w:rPr>
      <w:vertAlign w:val="superscript"/>
    </w:rPr>
  </w:style>
  <w:style w:type="paragraph" w:styleId="18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1">
    <w:name w:val="Heading 4"/>
    <w:basedOn w:val="630"/>
    <w:link w:val="638"/>
    <w:uiPriority w:val="9"/>
    <w:qFormat/>
    <w:pPr>
      <w:spacing w:beforeAutospacing="1" w:afterAutospacing="1"/>
      <w:outlineLvl w:val="3"/>
    </w:pPr>
    <w:rPr>
      <w:b/>
      <w:bCs/>
    </w:rPr>
  </w:style>
  <w:style w:type="character" w:styleId="632" w:default="1">
    <w:name w:val="Default Paragraph Font"/>
    <w:uiPriority w:val="1"/>
    <w:semiHidden/>
    <w:unhideWhenUsed/>
    <w:qFormat/>
  </w:style>
  <w:style w:type="character" w:styleId="633" w:customStyle="1">
    <w:name w:val="Верхний колонтитул Знак"/>
    <w:basedOn w:val="632"/>
    <w:uiPriority w:val="99"/>
    <w:qFormat/>
  </w:style>
  <w:style w:type="character" w:styleId="634" w:customStyle="1">
    <w:name w:val="Нижний колонтитул Знак"/>
    <w:basedOn w:val="632"/>
    <w:uiPriority w:val="99"/>
    <w:qFormat/>
  </w:style>
  <w:style w:type="character" w:styleId="635">
    <w:name w:val="Интернет-ссылка"/>
    <w:basedOn w:val="632"/>
    <w:uiPriority w:val="99"/>
    <w:unhideWhenUsed/>
    <w:rPr>
      <w:color w:val="0563c1" w:themeColor="hyperlink"/>
      <w:u w:val="single"/>
    </w:rPr>
  </w:style>
  <w:style w:type="character" w:styleId="636" w:customStyle="1">
    <w:name w:val="Текст выноски Знак"/>
    <w:basedOn w:val="632"/>
    <w:link w:val="657"/>
    <w:uiPriority w:val="99"/>
    <w:semiHidden/>
    <w:qFormat/>
    <w:rPr>
      <w:rFonts w:ascii="Tahoma" w:hAnsi="Tahoma" w:cs="Tahoma"/>
      <w:sz w:val="16"/>
      <w:szCs w:val="16"/>
    </w:rPr>
  </w:style>
  <w:style w:type="character" w:styleId="637" w:customStyle="1">
    <w:name w:val="WW8Num1z3"/>
    <w:qFormat/>
  </w:style>
  <w:style w:type="character" w:styleId="638" w:customStyle="1">
    <w:name w:val="Заголовок 4 Знак"/>
    <w:basedOn w:val="632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39">
    <w:name w:val="Strong"/>
    <w:basedOn w:val="632"/>
    <w:uiPriority w:val="22"/>
    <w:qFormat/>
    <w:rPr>
      <w:b/>
      <w:bCs/>
    </w:rPr>
  </w:style>
  <w:style w:type="character" w:styleId="640">
    <w:name w:val="Выделение"/>
    <w:basedOn w:val="632"/>
    <w:uiPriority w:val="20"/>
    <w:qFormat/>
    <w:rPr>
      <w:i/>
      <w:iCs/>
    </w:rPr>
  </w:style>
  <w:style w:type="character" w:styleId="641" w:customStyle="1">
    <w:name w:val="val"/>
    <w:basedOn w:val="632"/>
    <w:qFormat/>
  </w:style>
  <w:style w:type="character" w:styleId="642">
    <w:name w:val="Маркеры"/>
    <w:qFormat/>
    <w:rPr>
      <w:rFonts w:ascii="OpenSymbol" w:hAnsi="OpenSymbol" w:eastAsia="OpenSymbol" w:cs="OpenSymbol"/>
    </w:rPr>
  </w:style>
  <w:style w:type="character" w:styleId="643">
    <w:name w:val="Символ нумерации"/>
    <w:qFormat/>
  </w:style>
  <w:style w:type="paragraph" w:styleId="644">
    <w:name w:val="Заголовок"/>
    <w:basedOn w:val="630"/>
    <w:next w:val="645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45">
    <w:name w:val="Body Text"/>
    <w:basedOn w:val="630"/>
    <w:pPr>
      <w:spacing w:before="0" w:after="140" w:line="276" w:lineRule="auto"/>
    </w:pPr>
  </w:style>
  <w:style w:type="paragraph" w:styleId="646">
    <w:name w:val="List"/>
    <w:basedOn w:val="645"/>
    <w:rPr>
      <w:rFonts w:cs="Lohit Devanagari"/>
    </w:rPr>
  </w:style>
  <w:style w:type="paragraph" w:styleId="647">
    <w:name w:val="Caption"/>
    <w:basedOn w:val="63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8">
    <w:name w:val="Указатель"/>
    <w:basedOn w:val="630"/>
    <w:qFormat/>
    <w:pPr>
      <w:suppressLineNumbers/>
    </w:pPr>
    <w:rPr>
      <w:rFonts w:cs="Lohit Devanagari"/>
    </w:rPr>
  </w:style>
  <w:style w:type="paragraph" w:styleId="649">
    <w:name w:val="Колонтитул"/>
    <w:basedOn w:val="630"/>
    <w:qFormat/>
  </w:style>
  <w:style w:type="paragraph" w:styleId="650">
    <w:name w:val="Header"/>
    <w:basedOn w:val="630"/>
    <w:link w:val="63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1">
    <w:name w:val="Footer"/>
    <w:basedOn w:val="630"/>
    <w:link w:val="63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2">
    <w:name w:val="List Paragraph"/>
    <w:basedOn w:val="630"/>
    <w:uiPriority w:val="34"/>
    <w:qFormat/>
    <w:pPr>
      <w:contextualSpacing/>
      <w:ind w:left="720" w:firstLine="0"/>
      <w:spacing w:before="0" w:after="0"/>
    </w:pPr>
  </w:style>
  <w:style w:type="paragraph" w:styleId="653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/>
      <w:b/>
      <w:bCs/>
      <w:color w:val="auto"/>
      <w:sz w:val="24"/>
      <w:szCs w:val="20"/>
      <w:lang w:val="ru-RU" w:eastAsia="zh-CN" w:bidi="ar-SA"/>
    </w:rPr>
  </w:style>
  <w:style w:type="paragraph" w:styleId="654" w:customStyle="1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5" w:customStyle="1">
    <w:name w:val="Заголовок 31"/>
    <w:basedOn w:val="630"/>
    <w:qFormat/>
    <w:pPr>
      <w:numPr>
        <w:ilvl w:val="2"/>
        <w:numId w:val="1"/>
      </w:numPr>
      <w:ind w:left="142" w:firstLine="0"/>
      <w:jc w:val="both"/>
      <w:keepNext/>
      <w:spacing w:before="240" w:after="60"/>
      <w:tabs>
        <w:tab w:val="left" w:pos="312" w:leader="none"/>
        <w:tab w:val="clear" w:pos="708" w:leader="none"/>
      </w:tabs>
      <w:outlineLvl w:val="2"/>
    </w:pPr>
    <w:rPr>
      <w:rFonts w:ascii="Arial" w:hAnsi="Arial" w:cs="Arial"/>
      <w:b/>
      <w:bCs/>
      <w:lang w:eastAsia="zh-CN"/>
    </w:rPr>
  </w:style>
  <w:style w:type="paragraph" w:styleId="656" w:customStyle="1">
    <w:name w:val="Заголовок 41"/>
    <w:basedOn w:val="630"/>
    <w:qFormat/>
    <w:pPr>
      <w:numPr>
        <w:ilvl w:val="3"/>
        <w:numId w:val="1"/>
      </w:numPr>
      <w:keepNext/>
      <w:spacing w:before="120" w:after="120"/>
      <w:outlineLvl w:val="3"/>
    </w:pPr>
    <w:rPr>
      <w:rFonts w:ascii="Liberation Serif" w:hAnsi="Liberation Serif" w:eastAsia="SimSun" w:cs="Mangal"/>
      <w:b/>
      <w:bCs/>
      <w:lang w:eastAsia="zh-CN"/>
    </w:rPr>
  </w:style>
  <w:style w:type="paragraph" w:styleId="657">
    <w:name w:val="Balloon Text"/>
    <w:basedOn w:val="630"/>
    <w:link w:val="63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58">
    <w:name w:val="Normal (Web)"/>
    <w:basedOn w:val="630"/>
    <w:uiPriority w:val="99"/>
    <w:semiHidden/>
    <w:unhideWhenUsed/>
    <w:qFormat/>
    <w:pPr>
      <w:spacing w:beforeAutospacing="1" w:afterAutospacing="1"/>
    </w:pPr>
  </w:style>
  <w:style w:type="paragraph" w:styleId="659" w:customStyle="1">
    <w:name w:val="Цветной список - Акцент 11"/>
    <w:basedOn w:val="630"/>
    <w:qFormat/>
    <w:pPr>
      <w:numPr>
        <w:ilvl w:val="0"/>
        <w:numId w:val="3"/>
      </w:numPr>
      <w:jc w:val="both"/>
      <w:spacing w:before="120" w:after="60"/>
      <w:widowControl w:val="off"/>
      <w:tabs>
        <w:tab w:val="clear" w:pos="708" w:leader="none"/>
        <w:tab w:val="left" w:pos="993" w:leader="none"/>
      </w:tabs>
    </w:pPr>
    <w:rPr>
      <w:rFonts w:ascii="Times New Roman CYR" w:hAnsi="Times New Roman CYR"/>
    </w:rPr>
  </w:style>
  <w:style w:type="paragraph" w:styleId="660">
    <w:name w:val="Содержимое врезки"/>
    <w:basedOn w:val="630"/>
    <w:qFormat/>
  </w:style>
  <w:style w:type="numbering" w:styleId="661" w:default="1">
    <w:name w:val="No List"/>
    <w:uiPriority w:val="99"/>
    <w:semiHidden/>
    <w:unhideWhenUsed/>
    <w:qFormat/>
  </w:style>
  <w:style w:type="numbering" w:styleId="662" w:customStyle="1">
    <w:name w:val="Стиль61"/>
    <w:uiPriority w:val="99"/>
    <w:qFormat/>
  </w:style>
  <w:style w:type="table" w:styleId="66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"/>
    <w:basedOn w:val="66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6872-E7D8-4CC1-BE9D-07A6BEF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Екатерина Квасова</cp:lastModifiedBy>
  <cp:revision>9</cp:revision>
  <dcterms:created xsi:type="dcterms:W3CDTF">2022-11-28T07:49:00Z</dcterms:created>
  <dcterms:modified xsi:type="dcterms:W3CDTF">2022-12-17T11:36:02Z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